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07" w:rsidRPr="00B47E5E" w:rsidRDefault="00700F07" w:rsidP="00700F07">
      <w:pPr>
        <w:spacing w:after="75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47E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АДМИНИСТРАЦИЯ</w:t>
      </w:r>
    </w:p>
    <w:p w:rsidR="00700F07" w:rsidRPr="00B47E5E" w:rsidRDefault="006A3CAA" w:rsidP="00700F07">
      <w:pPr>
        <w:spacing w:after="75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КУДИНЦЕВСКОГО </w:t>
      </w:r>
      <w:r w:rsidR="00700F07" w:rsidRPr="00B47E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СЕЛЬСОВЕТА </w:t>
      </w:r>
    </w:p>
    <w:p w:rsidR="00700F07" w:rsidRPr="00B47E5E" w:rsidRDefault="00700F07" w:rsidP="00700F07">
      <w:pPr>
        <w:spacing w:after="75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47E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ЛЬГОВСКОГО РАЙОНА </w:t>
      </w:r>
    </w:p>
    <w:p w:rsidR="00700F07" w:rsidRPr="00B47E5E" w:rsidRDefault="00700F07" w:rsidP="00700F07">
      <w:pPr>
        <w:spacing w:after="75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00F07" w:rsidRPr="00B47E5E" w:rsidRDefault="00700F07" w:rsidP="00700F07">
      <w:pPr>
        <w:spacing w:after="75" w:line="312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47E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700F07" w:rsidRPr="00B47E5E" w:rsidRDefault="00700F07" w:rsidP="00700F07">
      <w:pPr>
        <w:spacing w:after="75" w:line="312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0F07" w:rsidRPr="00B47E5E" w:rsidRDefault="00700F07" w:rsidP="00E11E2F">
      <w:pPr>
        <w:spacing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7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4F21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3C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4F21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января</w:t>
      </w:r>
      <w:r w:rsidRPr="00B47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</w:t>
      </w:r>
      <w:r w:rsidR="00E11E2F" w:rsidRPr="00B47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47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№ </w:t>
      </w:r>
      <w:r w:rsidR="006A3C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10-1</w:t>
      </w:r>
    </w:p>
    <w:p w:rsidR="00DB025F" w:rsidRPr="00B47E5E" w:rsidRDefault="00DB025F" w:rsidP="00700F0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порядка проведения анализа осуществления главными распорядителями (распорядителями) средств бюджета </w:t>
      </w:r>
      <w:r w:rsidR="00700F07" w:rsidRPr="00B47E5E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</w:t>
      </w:r>
      <w:r w:rsidR="006A3C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00F07" w:rsidRPr="00B47E5E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6A3CAA">
        <w:rPr>
          <w:rFonts w:ascii="Times New Roman" w:hAnsi="Times New Roman"/>
          <w:b/>
          <w:sz w:val="24"/>
          <w:szCs w:val="24"/>
          <w:lang w:eastAsia="ru-RU"/>
        </w:rPr>
        <w:t>Кудинцевский</w:t>
      </w:r>
      <w:r w:rsidR="004F219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00F07" w:rsidRPr="00B47E5E">
        <w:rPr>
          <w:rFonts w:ascii="Times New Roman" w:hAnsi="Times New Roman"/>
          <w:b/>
          <w:sz w:val="24"/>
          <w:szCs w:val="24"/>
          <w:lang w:eastAsia="ru-RU"/>
        </w:rPr>
        <w:t>сельсовет»</w:t>
      </w:r>
      <w:r w:rsidR="006A3C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00F07" w:rsidRPr="00B47E5E">
        <w:rPr>
          <w:rFonts w:ascii="Times New Roman" w:hAnsi="Times New Roman"/>
          <w:b/>
          <w:sz w:val="24"/>
          <w:szCs w:val="24"/>
          <w:lang w:eastAsia="ru-RU"/>
        </w:rPr>
        <w:t>Льговского района Курской области</w:t>
      </w:r>
      <w:r w:rsidRPr="00B47E5E">
        <w:rPr>
          <w:rFonts w:ascii="Times New Roman" w:hAnsi="Times New Roman"/>
          <w:b/>
          <w:sz w:val="24"/>
          <w:szCs w:val="24"/>
          <w:lang w:eastAsia="ru-RU"/>
        </w:rPr>
        <w:t xml:space="preserve">, главными администраторами (администраторами) доходов </w:t>
      </w:r>
      <w:r w:rsidR="00E11E2F" w:rsidRPr="00B47E5E">
        <w:rPr>
          <w:rFonts w:ascii="Times New Roman" w:hAnsi="Times New Roman"/>
          <w:b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b/>
          <w:sz w:val="24"/>
          <w:szCs w:val="24"/>
          <w:lang w:eastAsia="ru-RU"/>
        </w:rPr>
        <w:t xml:space="preserve"> бюджета, главными администраторами (администраторами) источников финансирования дефицита </w:t>
      </w:r>
      <w:r w:rsidR="00E11E2F" w:rsidRPr="00B47E5E">
        <w:rPr>
          <w:rFonts w:ascii="Times New Roman" w:hAnsi="Times New Roman"/>
          <w:b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b/>
          <w:sz w:val="24"/>
          <w:szCs w:val="24"/>
          <w:lang w:eastAsia="ru-RU"/>
        </w:rPr>
        <w:t xml:space="preserve"> бюджета внутреннего финансового контроля и внутреннего финансового аудита.</w:t>
      </w:r>
    </w:p>
    <w:p w:rsidR="00DB025F" w:rsidRPr="00B47E5E" w:rsidRDefault="00DB025F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p w:rsidR="00DB025F" w:rsidRPr="00B47E5E" w:rsidRDefault="00DB025F" w:rsidP="005A08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ab/>
        <w:t xml:space="preserve">Руководствуясь пунктом 4 статьи 157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B47E5E">
        <w:rPr>
          <w:rFonts w:ascii="Times New Roman" w:hAnsi="Times New Roman"/>
          <w:sz w:val="24"/>
          <w:szCs w:val="24"/>
          <w:lang w:eastAsia="ru-RU"/>
        </w:rPr>
        <w:t>муниципального образования «</w:t>
      </w:r>
      <w:r w:rsidR="006A3CAA" w:rsidRPr="006A3CAA">
        <w:rPr>
          <w:rFonts w:ascii="Times New Roman" w:hAnsi="Times New Roman"/>
          <w:sz w:val="24"/>
          <w:szCs w:val="24"/>
          <w:lang w:eastAsia="ru-RU"/>
        </w:rPr>
        <w:t xml:space="preserve">Кудинцевский </w:t>
      </w:r>
      <w:r w:rsidR="00B47E5E">
        <w:rPr>
          <w:rFonts w:ascii="Times New Roman" w:hAnsi="Times New Roman"/>
          <w:sz w:val="24"/>
          <w:szCs w:val="24"/>
          <w:lang w:eastAsia="ru-RU"/>
        </w:rPr>
        <w:t>сельсовет» Льговского района Курской области</w:t>
      </w:r>
      <w:r w:rsidRPr="00B47E5E">
        <w:rPr>
          <w:rFonts w:ascii="Times New Roman" w:hAnsi="Times New Roman"/>
          <w:sz w:val="24"/>
          <w:szCs w:val="24"/>
          <w:lang w:eastAsia="ru-RU"/>
        </w:rPr>
        <w:t>,</w:t>
      </w:r>
      <w:r w:rsidR="004F21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7E5E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6A3CAA">
        <w:rPr>
          <w:rFonts w:ascii="Times New Roman" w:hAnsi="Times New Roman"/>
          <w:sz w:val="24"/>
          <w:szCs w:val="24"/>
          <w:lang w:eastAsia="ru-RU"/>
        </w:rPr>
        <w:t>Кудинцевского</w:t>
      </w:r>
      <w:r w:rsidR="00B47E5E">
        <w:rPr>
          <w:rFonts w:ascii="Times New Roman" w:hAnsi="Times New Roman"/>
          <w:sz w:val="24"/>
          <w:szCs w:val="24"/>
          <w:lang w:eastAsia="ru-RU"/>
        </w:rPr>
        <w:t xml:space="preserve"> сельсовета Льговского района </w:t>
      </w:r>
      <w:r w:rsidRPr="00B47E5E">
        <w:rPr>
          <w:rFonts w:ascii="Times New Roman" w:hAnsi="Times New Roman"/>
          <w:bCs/>
          <w:sz w:val="24"/>
          <w:szCs w:val="24"/>
          <w:lang w:eastAsia="ru-RU"/>
        </w:rPr>
        <w:t>постановляет:</w:t>
      </w:r>
    </w:p>
    <w:p w:rsidR="00DB025F" w:rsidRPr="00B47E5E" w:rsidRDefault="00DB025F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p w:rsidR="00DB025F" w:rsidRPr="00B47E5E" w:rsidRDefault="00DB025F" w:rsidP="00B47E5E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1. Утвердить Порядок проведения анализа осуществления главными распорядителями (распорядителями) средств бюджета </w:t>
      </w:r>
      <w:r w:rsidR="00B47E5E">
        <w:rPr>
          <w:rFonts w:ascii="Times New Roman" w:hAnsi="Times New Roman"/>
          <w:sz w:val="24"/>
          <w:szCs w:val="24"/>
          <w:lang w:eastAsia="ru-RU"/>
        </w:rPr>
        <w:t>муниципального образования «</w:t>
      </w:r>
      <w:r w:rsidR="004F219D">
        <w:rPr>
          <w:rFonts w:ascii="Times New Roman" w:hAnsi="Times New Roman"/>
          <w:sz w:val="24"/>
          <w:szCs w:val="24"/>
          <w:lang w:eastAsia="ru-RU"/>
        </w:rPr>
        <w:t>Боьшеугонский</w:t>
      </w:r>
      <w:r w:rsidR="00B47E5E">
        <w:rPr>
          <w:rFonts w:ascii="Times New Roman" w:hAnsi="Times New Roman"/>
          <w:sz w:val="24"/>
          <w:szCs w:val="24"/>
          <w:lang w:eastAsia="ru-RU"/>
        </w:rPr>
        <w:t xml:space="preserve"> сельсовет» Льговского района Курской области 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главными администраторами (администраторами) доходов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бюджета, главными администраторами (администраторами) источников финансирования дефицита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 внутреннего финансового контроля и внутреннего финансов</w:t>
      </w:r>
      <w:r w:rsidR="00B47E5E" w:rsidRPr="00B47E5E">
        <w:rPr>
          <w:rFonts w:ascii="Times New Roman" w:hAnsi="Times New Roman"/>
          <w:sz w:val="24"/>
          <w:szCs w:val="24"/>
          <w:lang w:eastAsia="ru-RU"/>
        </w:rPr>
        <w:t>ого аудита согласно приложению.</w:t>
      </w: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p w:rsidR="00DB025F" w:rsidRPr="00B47E5E" w:rsidRDefault="00657EC3" w:rsidP="00B47E5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DB025F" w:rsidRPr="00B47E5E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700F07" w:rsidRPr="00B47E5E">
        <w:rPr>
          <w:rFonts w:ascii="Times New Roman" w:hAnsi="Times New Roman"/>
          <w:sz w:val="24"/>
          <w:szCs w:val="24"/>
        </w:rPr>
        <w:t xml:space="preserve">Настоящее постановление подлежит размещению на официальном сайте в сети «Интернет» Администрации </w:t>
      </w:r>
      <w:r w:rsidR="006A3CAA" w:rsidRPr="006A3CAA">
        <w:rPr>
          <w:rFonts w:ascii="Times New Roman" w:hAnsi="Times New Roman"/>
          <w:sz w:val="24"/>
          <w:szCs w:val="24"/>
        </w:rPr>
        <w:t>Кудинцевского</w:t>
      </w:r>
      <w:r w:rsidR="00700F07" w:rsidRPr="00B47E5E">
        <w:rPr>
          <w:rFonts w:ascii="Times New Roman" w:hAnsi="Times New Roman"/>
          <w:sz w:val="24"/>
          <w:szCs w:val="24"/>
        </w:rPr>
        <w:t xml:space="preserve"> сельсовета Льг</w:t>
      </w:r>
      <w:r w:rsidR="00B47E5E">
        <w:rPr>
          <w:rFonts w:ascii="Times New Roman" w:hAnsi="Times New Roman"/>
          <w:sz w:val="24"/>
          <w:szCs w:val="24"/>
        </w:rPr>
        <w:t>овского района.</w:t>
      </w:r>
    </w:p>
    <w:p w:rsidR="00DB025F" w:rsidRPr="00B47E5E" w:rsidRDefault="00700F07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  <w:r w:rsidR="00657EC3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DB025F" w:rsidRPr="00B47E5E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 w:rsidR="00DB025F" w:rsidRPr="00B47E5E">
        <w:rPr>
          <w:rFonts w:ascii="Times New Roman" w:hAnsi="Times New Roman"/>
          <w:sz w:val="24"/>
          <w:szCs w:val="24"/>
          <w:lang w:eastAsia="ru-RU"/>
        </w:rPr>
        <w:t>Контроль  за</w:t>
      </w:r>
      <w:proofErr w:type="gramEnd"/>
      <w:r w:rsidR="00DB025F" w:rsidRPr="00B47E5E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B025F" w:rsidRPr="00B47E5E" w:rsidRDefault="00657EC3" w:rsidP="00700F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DB025F" w:rsidRPr="00B47E5E">
        <w:rPr>
          <w:rFonts w:ascii="Times New Roman" w:hAnsi="Times New Roman"/>
          <w:sz w:val="24"/>
          <w:szCs w:val="24"/>
          <w:lang w:eastAsia="ru-RU"/>
        </w:rPr>
        <w:t>4. Постановление вступает в силу со дня его подписания</w:t>
      </w:r>
    </w:p>
    <w:p w:rsidR="00DB025F" w:rsidRPr="00B47E5E" w:rsidRDefault="00DB025F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p w:rsidR="00B47E5E" w:rsidRPr="00B47E5E" w:rsidRDefault="00B47E5E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7E5E" w:rsidRPr="00B47E5E" w:rsidRDefault="00B47E5E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B025F" w:rsidRPr="00B47E5E" w:rsidRDefault="00DB025F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57EC3" w:rsidRDefault="00DB025F" w:rsidP="005A0869">
      <w:pPr>
        <w:tabs>
          <w:tab w:val="left" w:pos="58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 Глава </w:t>
      </w:r>
      <w:r w:rsidR="006A3CAA" w:rsidRPr="006A3CAA">
        <w:rPr>
          <w:rFonts w:ascii="Times New Roman" w:hAnsi="Times New Roman"/>
          <w:sz w:val="24"/>
          <w:szCs w:val="24"/>
          <w:lang w:eastAsia="ru-RU"/>
        </w:rPr>
        <w:t xml:space="preserve">Кудинцевского </w:t>
      </w:r>
      <w:r w:rsidR="00700F07" w:rsidRPr="00B47E5E">
        <w:rPr>
          <w:rFonts w:ascii="Times New Roman" w:hAnsi="Times New Roman"/>
          <w:sz w:val="24"/>
          <w:szCs w:val="24"/>
          <w:lang w:eastAsia="ru-RU"/>
        </w:rPr>
        <w:t>сельсовета</w:t>
      </w:r>
    </w:p>
    <w:p w:rsidR="00DB025F" w:rsidRPr="00B47E5E" w:rsidRDefault="00700F07" w:rsidP="005A0869">
      <w:pPr>
        <w:tabs>
          <w:tab w:val="left" w:pos="58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025F" w:rsidRPr="00B47E5E">
        <w:rPr>
          <w:rFonts w:ascii="Times New Roman" w:hAnsi="Times New Roman"/>
          <w:sz w:val="24"/>
          <w:szCs w:val="24"/>
          <w:lang w:eastAsia="ru-RU"/>
        </w:rPr>
        <w:t>Ль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говского района </w:t>
      </w:r>
      <w:r w:rsidRPr="00B47E5E">
        <w:rPr>
          <w:rFonts w:ascii="Times New Roman" w:hAnsi="Times New Roman"/>
          <w:sz w:val="24"/>
          <w:szCs w:val="24"/>
          <w:lang w:eastAsia="ru-RU"/>
        </w:rPr>
        <w:tab/>
      </w:r>
      <w:r w:rsidRPr="00B47E5E">
        <w:rPr>
          <w:rFonts w:ascii="Times New Roman" w:hAnsi="Times New Roman"/>
          <w:sz w:val="24"/>
          <w:szCs w:val="24"/>
          <w:lang w:eastAsia="ru-RU"/>
        </w:rPr>
        <w:tab/>
      </w:r>
      <w:r w:rsidR="006A3CAA">
        <w:rPr>
          <w:rFonts w:ascii="Times New Roman" w:hAnsi="Times New Roman"/>
          <w:sz w:val="24"/>
          <w:szCs w:val="24"/>
          <w:lang w:eastAsia="ru-RU"/>
        </w:rPr>
        <w:t>И. В. Муравьева</w:t>
      </w:r>
    </w:p>
    <w:p w:rsidR="00E11E2F" w:rsidRPr="00B47E5E" w:rsidRDefault="00E11E2F" w:rsidP="005A0869">
      <w:pPr>
        <w:tabs>
          <w:tab w:val="left" w:pos="58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1E2F" w:rsidRPr="00B47E5E" w:rsidRDefault="00E11E2F" w:rsidP="005A0869">
      <w:pPr>
        <w:tabs>
          <w:tab w:val="left" w:pos="58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E11E2F" w:rsidRPr="00B47E5E" w:rsidSect="00EF5037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proofErr w:type="gramStart"/>
      <w:r w:rsidRPr="00B47E5E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Постановлению Администрации</w:t>
      </w:r>
    </w:p>
    <w:p w:rsidR="00E11E2F" w:rsidRPr="00B47E5E" w:rsidRDefault="006A3CAA" w:rsidP="005A08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A3CAA">
        <w:rPr>
          <w:rFonts w:ascii="Times New Roman" w:hAnsi="Times New Roman"/>
          <w:sz w:val="24"/>
          <w:szCs w:val="24"/>
          <w:lang w:eastAsia="ru-RU"/>
        </w:rPr>
        <w:t>Кудинцевского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Л</w:t>
      </w:r>
      <w:r w:rsidR="00B47E5E">
        <w:rPr>
          <w:rFonts w:ascii="Times New Roman" w:hAnsi="Times New Roman"/>
          <w:sz w:val="24"/>
          <w:szCs w:val="24"/>
          <w:lang w:eastAsia="ru-RU"/>
        </w:rPr>
        <w:t xml:space="preserve">ьговского района </w:t>
      </w:r>
    </w:p>
    <w:p w:rsidR="00DB025F" w:rsidRPr="00B47E5E" w:rsidRDefault="00657EC3" w:rsidP="005A08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«2</w:t>
      </w:r>
      <w:r w:rsidR="006A3CAA">
        <w:rPr>
          <w:rFonts w:ascii="Times New Roman" w:hAnsi="Times New Roman"/>
          <w:sz w:val="24"/>
          <w:szCs w:val="24"/>
          <w:lang w:eastAsia="ru-RU"/>
        </w:rPr>
        <w:t>3</w:t>
      </w:r>
      <w:r w:rsidR="00DB025F" w:rsidRPr="00B47E5E">
        <w:rPr>
          <w:rFonts w:ascii="Times New Roman" w:hAnsi="Times New Roman"/>
          <w:sz w:val="24"/>
          <w:szCs w:val="24"/>
          <w:lang w:eastAsia="ru-RU"/>
        </w:rPr>
        <w:t xml:space="preserve">» января 2018 года № </w:t>
      </w:r>
      <w:r w:rsidR="006A3CAA">
        <w:rPr>
          <w:rFonts w:ascii="Times New Roman" w:hAnsi="Times New Roman"/>
          <w:sz w:val="24"/>
          <w:szCs w:val="24"/>
          <w:lang w:eastAsia="ru-RU"/>
        </w:rPr>
        <w:t>10-1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bCs/>
          <w:sz w:val="24"/>
          <w:szCs w:val="24"/>
          <w:lang w:eastAsia="ru-RU"/>
        </w:rPr>
        <w:t>ПОРЯДОК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проведения анализа осуществления главными распорядителями (распорядителями) средств бюджета </w:t>
      </w:r>
      <w:r w:rsidR="00700F07" w:rsidRPr="00B47E5E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образования</w:t>
      </w:r>
      <w:r w:rsidR="006A3C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00F07" w:rsidRPr="00B47E5E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6A3C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Кудинцевский </w:t>
      </w:r>
      <w:r w:rsidR="00700F07" w:rsidRPr="00B47E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сельсовет»</w:t>
      </w:r>
      <w:r w:rsidR="006A3C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00F07" w:rsidRPr="00B47E5E">
        <w:rPr>
          <w:rFonts w:ascii="Times New Roman" w:hAnsi="Times New Roman"/>
          <w:b/>
          <w:bCs/>
          <w:sz w:val="24"/>
          <w:szCs w:val="24"/>
          <w:lang w:eastAsia="ru-RU"/>
        </w:rPr>
        <w:t>Льговского района Курской области</w:t>
      </w:r>
      <w:r w:rsidRPr="00B47E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главными администраторами (администраторами) доходов </w:t>
      </w:r>
      <w:r w:rsidR="00E11E2F" w:rsidRPr="00B47E5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бюджета, главными администраторами (администраторами) источников финансирования дефицита </w:t>
      </w:r>
      <w:r w:rsidR="00E11E2F" w:rsidRPr="00B47E5E">
        <w:rPr>
          <w:rFonts w:ascii="Times New Roman" w:hAnsi="Times New Roman"/>
          <w:b/>
          <w:bCs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  внутреннего финансового контроля и внутреннего финансового аудита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sz w:val="24"/>
          <w:szCs w:val="24"/>
          <w:lang w:eastAsia="ru-RU"/>
        </w:rPr>
        <w:t>I. ОБЩИЕ ПОЛОЖЕНИЯ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B47E5E">
        <w:rPr>
          <w:rFonts w:ascii="Times New Roman" w:hAnsi="Times New Roman"/>
          <w:sz w:val="24"/>
          <w:szCs w:val="24"/>
          <w:lang w:eastAsia="ru-RU"/>
        </w:rPr>
        <w:t xml:space="preserve">Настоящий Порядок </w:t>
      </w:r>
      <w:r w:rsidRPr="00B47E5E">
        <w:rPr>
          <w:rFonts w:ascii="Times New Roman" w:hAnsi="Times New Roman"/>
          <w:bCs/>
          <w:sz w:val="24"/>
          <w:szCs w:val="24"/>
          <w:lang w:eastAsia="ru-RU"/>
        </w:rPr>
        <w:t xml:space="preserve">проведения анализа осуществления главными распорядителями (распорядителями) средств бюджета </w:t>
      </w:r>
      <w:r w:rsidR="00B47E5E"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 «</w:t>
      </w:r>
      <w:r w:rsidR="006A3CAA" w:rsidRPr="006A3CAA">
        <w:rPr>
          <w:rFonts w:ascii="Times New Roman" w:hAnsi="Times New Roman"/>
          <w:bCs/>
          <w:sz w:val="24"/>
          <w:szCs w:val="24"/>
          <w:lang w:eastAsia="ru-RU"/>
        </w:rPr>
        <w:t>Кудинцевский</w:t>
      </w:r>
      <w:r w:rsidR="00B47E5E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сельсовет» Льговского района Курской области</w:t>
      </w:r>
      <w:r w:rsidRPr="00B47E5E">
        <w:rPr>
          <w:rFonts w:ascii="Times New Roman" w:hAnsi="Times New Roman"/>
          <w:bCs/>
          <w:sz w:val="24"/>
          <w:szCs w:val="24"/>
          <w:lang w:eastAsia="ru-RU"/>
        </w:rPr>
        <w:t xml:space="preserve">, главными администраторами (администраторами) доходов </w:t>
      </w:r>
      <w:r w:rsidR="00E11E2F" w:rsidRPr="00B47E5E">
        <w:rPr>
          <w:rFonts w:ascii="Times New Roman" w:hAnsi="Times New Roman"/>
          <w:bCs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bCs/>
          <w:sz w:val="24"/>
          <w:szCs w:val="24"/>
          <w:lang w:eastAsia="ru-RU"/>
        </w:rPr>
        <w:t xml:space="preserve"> бюджета, главными администраторами (администраторами) источников финансирования дефицита </w:t>
      </w:r>
      <w:r w:rsidR="00E11E2F" w:rsidRPr="00B47E5E">
        <w:rPr>
          <w:rFonts w:ascii="Times New Roman" w:hAnsi="Times New Roman"/>
          <w:bCs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bCs/>
          <w:sz w:val="24"/>
          <w:szCs w:val="24"/>
          <w:lang w:eastAsia="ru-RU"/>
        </w:rPr>
        <w:t xml:space="preserve"> бюджета внутреннего финансового контроля и внутреннего финансового аудита (далее - порядок) </w:t>
      </w:r>
      <w:r w:rsidRPr="00B47E5E">
        <w:rPr>
          <w:rFonts w:ascii="Times New Roman" w:hAnsi="Times New Roman"/>
          <w:sz w:val="24"/>
          <w:szCs w:val="24"/>
          <w:lang w:eastAsia="ru-RU"/>
        </w:rPr>
        <w:t>разработан в целях обеспечения реализации полномочий, органа (должностного лица) внутреннего муниципального финансового контроля администрации</w:t>
      </w:r>
      <w:r w:rsidR="00657E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3CAA">
        <w:rPr>
          <w:rFonts w:ascii="Times New Roman" w:hAnsi="Times New Roman"/>
          <w:sz w:val="24"/>
          <w:szCs w:val="24"/>
          <w:lang w:eastAsia="ru-RU"/>
        </w:rPr>
        <w:t xml:space="preserve">Кудинцевского </w:t>
      </w:r>
      <w:r w:rsidR="00B47E5E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Льговского района, определенных</w:t>
      </w:r>
      <w:proofErr w:type="gramEnd"/>
      <w:r w:rsidRPr="00B47E5E">
        <w:rPr>
          <w:rFonts w:ascii="Times New Roman" w:hAnsi="Times New Roman"/>
          <w:sz w:val="24"/>
          <w:szCs w:val="24"/>
          <w:lang w:eastAsia="ru-RU"/>
        </w:rPr>
        <w:t xml:space="preserve"> положениями пункта 4 статьи 157 Бюджетного кодекса Российской Федерации, и устанавливает процедуру проведения анализа осуществления главными распорядителями (распорядителями) средств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бюджета, главными администраторами (администраторами) доходов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бюджета, главными администраторами (администраторами) источников финансирования дефицита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 внутреннего финансового контроля и внутреннего финансового аудита.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1.2. Анализ осуществления главными администраторами средств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 внутреннего финансового контроля и внутреннего финансового аудита (далее - анализ) организуется и проводится в соответствии с законодательством Российской Федерации, нормативными правовыми актами Курской области, муниципальными нормативными правовыми актами </w:t>
      </w:r>
      <w:r w:rsidR="006A3CAA" w:rsidRPr="006A3CAA">
        <w:rPr>
          <w:rFonts w:ascii="Times New Roman" w:hAnsi="Times New Roman"/>
          <w:sz w:val="24"/>
          <w:szCs w:val="24"/>
          <w:lang w:eastAsia="ru-RU"/>
        </w:rPr>
        <w:t>Кудинцевского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Pr="00B47E5E">
        <w:rPr>
          <w:rFonts w:ascii="Times New Roman" w:hAnsi="Times New Roman"/>
          <w:sz w:val="24"/>
          <w:szCs w:val="24"/>
          <w:lang w:eastAsia="ru-RU"/>
        </w:rPr>
        <w:t>Льговского района Курской области, а также настоящим Порядком.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1.3. Целью анализа является оценка системы внутреннего финансового контроля и внутреннего финансового аудита, осуществляемого главными администраторами средств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1.4. </w:t>
      </w:r>
      <w:proofErr w:type="gramStart"/>
      <w:r w:rsidRPr="00B47E5E">
        <w:rPr>
          <w:rFonts w:ascii="Times New Roman" w:hAnsi="Times New Roman"/>
          <w:sz w:val="24"/>
          <w:szCs w:val="24"/>
          <w:lang w:eastAsia="ru-RU"/>
        </w:rPr>
        <w:t xml:space="preserve">В целях проведения анализа осуществления внутреннего финансового контроля и внутреннего финансового аудита администраторы средств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 представляют в орган (должностному лицу) внутреннего муниципального финансового контроля администрации</w:t>
      </w:r>
      <w:r w:rsidR="00657E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3CAA" w:rsidRPr="006A3CAA">
        <w:rPr>
          <w:rFonts w:ascii="Times New Roman" w:hAnsi="Times New Roman"/>
          <w:sz w:val="24"/>
          <w:szCs w:val="24"/>
          <w:lang w:eastAsia="ru-RU"/>
        </w:rPr>
        <w:t>Кудинцевского</w:t>
      </w:r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="00657E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7E5E">
        <w:rPr>
          <w:rFonts w:ascii="Times New Roman" w:hAnsi="Times New Roman"/>
          <w:sz w:val="24"/>
          <w:szCs w:val="24"/>
          <w:lang w:eastAsia="ru-RU"/>
        </w:rPr>
        <w:t>Льговского района</w:t>
      </w:r>
      <w:r w:rsidRPr="00B47E5E">
        <w:rPr>
          <w:rFonts w:ascii="Times New Roman" w:hAnsi="Times New Roman"/>
          <w:sz w:val="24"/>
          <w:szCs w:val="24"/>
          <w:lang w:eastAsia="ru-RU"/>
        </w:rPr>
        <w:t>: ежегодно в срок не позднее 25 февраля следующего за отчетным периодом, планы внутреннего финансового контроля и план внутреннего финансового аудита на очередной финансовый год, отчет о результатах осуществления внутреннего финансового</w:t>
      </w:r>
      <w:proofErr w:type="gramEnd"/>
      <w:r w:rsidRPr="00B47E5E">
        <w:rPr>
          <w:rFonts w:ascii="Times New Roman" w:hAnsi="Times New Roman"/>
          <w:sz w:val="24"/>
          <w:szCs w:val="24"/>
          <w:lang w:eastAsia="ru-RU"/>
        </w:rPr>
        <w:t xml:space="preserve"> контроля и   внутреннего финансового аудита и информацию согласно приложению № 1 к Порядку.</w:t>
      </w:r>
    </w:p>
    <w:p w:rsidR="00DB025F" w:rsidRPr="00B47E5E" w:rsidRDefault="00DB025F" w:rsidP="005A0869">
      <w:pPr>
        <w:spacing w:after="0" w:line="240" w:lineRule="auto"/>
        <w:ind w:firstLine="880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sz w:val="24"/>
          <w:szCs w:val="24"/>
          <w:lang w:eastAsia="ru-RU"/>
        </w:rPr>
        <w:t>II. ПЛАНИРОВАНИЕ ПРОВЕДЕНИЯ АНАЛИЗА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2.1. Планирование проведения анализа осуществляет органом (должностным лицом) внутреннего муниципального финансового контроля администрации </w:t>
      </w:r>
      <w:r w:rsidR="006A3CAA" w:rsidRPr="006A3CAA">
        <w:rPr>
          <w:rFonts w:ascii="Times New Roman" w:hAnsi="Times New Roman"/>
          <w:sz w:val="24"/>
          <w:szCs w:val="24"/>
          <w:lang w:eastAsia="ru-RU"/>
        </w:rPr>
        <w:t>Кудинцевского</w:t>
      </w:r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Pr="00B47E5E">
        <w:rPr>
          <w:rFonts w:ascii="Times New Roman" w:hAnsi="Times New Roman"/>
          <w:sz w:val="24"/>
          <w:szCs w:val="24"/>
          <w:lang w:eastAsia="ru-RU"/>
        </w:rPr>
        <w:t>Л</w:t>
      </w:r>
      <w:r w:rsidR="00B47E5E">
        <w:rPr>
          <w:rFonts w:ascii="Times New Roman" w:hAnsi="Times New Roman"/>
          <w:sz w:val="24"/>
          <w:szCs w:val="24"/>
          <w:lang w:eastAsia="ru-RU"/>
        </w:rPr>
        <w:t>ьговского района</w:t>
      </w:r>
      <w:r w:rsidRPr="00B47E5E">
        <w:rPr>
          <w:rFonts w:ascii="Times New Roman" w:hAnsi="Times New Roman"/>
          <w:sz w:val="24"/>
          <w:szCs w:val="24"/>
          <w:lang w:eastAsia="ru-RU"/>
        </w:rPr>
        <w:t>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2.2. Анализ проводится  по итогам финансового года, в соответствии с настоящим Порядком.</w:t>
      </w:r>
    </w:p>
    <w:p w:rsidR="00DB025F" w:rsidRPr="00B47E5E" w:rsidRDefault="00DB025F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sz w:val="24"/>
          <w:szCs w:val="24"/>
          <w:lang w:eastAsia="ru-RU"/>
        </w:rPr>
        <w:t xml:space="preserve">III. ПРОВЕДЕНИЕ АНАЛИЗА ОСУЩЕСТВЛЕНИЯ ГЛАВНЫМИ АДМИНИСТРАТОРАМИ СРЕДСТВ  </w:t>
      </w:r>
      <w:r w:rsidR="00E11E2F" w:rsidRPr="00B47E5E">
        <w:rPr>
          <w:rFonts w:ascii="Times New Roman" w:hAnsi="Times New Roman"/>
          <w:b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b/>
          <w:sz w:val="24"/>
          <w:szCs w:val="24"/>
          <w:lang w:eastAsia="ru-RU"/>
        </w:rPr>
        <w:t xml:space="preserve"> БЮДЖЕТА ВНУТРЕННЕГО ФИНАНСОВОГО КОНТРОЛЯ И ВНУТРЕННЕГО ФИНАНСОВОГО АУДИТА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3.1. Анализ проводится органом (должностным лицом) администрации</w:t>
      </w:r>
      <w:r w:rsidR="00657E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3CAA" w:rsidRPr="006A3CAA">
        <w:rPr>
          <w:rFonts w:ascii="Times New Roman" w:hAnsi="Times New Roman"/>
          <w:sz w:val="24"/>
          <w:szCs w:val="24"/>
          <w:lang w:eastAsia="ru-RU"/>
        </w:rPr>
        <w:t xml:space="preserve">Кудинцевского </w:t>
      </w:r>
      <w:r w:rsidR="0090402E" w:rsidRPr="00B47E5E">
        <w:rPr>
          <w:rFonts w:ascii="Times New Roman" w:hAnsi="Times New Roman"/>
          <w:sz w:val="24"/>
          <w:szCs w:val="24"/>
          <w:lang w:eastAsia="ru-RU"/>
        </w:rPr>
        <w:t>сельсовета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Л</w:t>
      </w:r>
      <w:r w:rsidR="00B47E5E">
        <w:rPr>
          <w:rFonts w:ascii="Times New Roman" w:hAnsi="Times New Roman"/>
          <w:sz w:val="24"/>
          <w:szCs w:val="24"/>
          <w:lang w:eastAsia="ru-RU"/>
        </w:rPr>
        <w:t>ьговского района</w:t>
      </w:r>
      <w:r w:rsidRPr="00B47E5E">
        <w:rPr>
          <w:rFonts w:ascii="Times New Roman" w:hAnsi="Times New Roman"/>
          <w:sz w:val="24"/>
          <w:szCs w:val="24"/>
          <w:lang w:eastAsia="ru-RU"/>
        </w:rPr>
        <w:t>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3.2. Анализ проводится посредством изучения планов (карт) внутреннего финансового контроля, отчетов и информации по осуществлению контрольных действий, полученных от главного администратора средств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3.3. При проведении анализа исследуется: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а) осуществление главными администраторами средств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  внутреннего финансового контроля, направленного на соблюдение внутренних стандартов и процедур составления и исполнения бюджета </w:t>
      </w:r>
      <w:r w:rsidR="006A3CAA" w:rsidRPr="006A3CAA">
        <w:rPr>
          <w:rFonts w:ascii="Times New Roman" w:hAnsi="Times New Roman"/>
          <w:sz w:val="24"/>
          <w:szCs w:val="24"/>
          <w:lang w:eastAsia="ru-RU"/>
        </w:rPr>
        <w:t>Кудинцевского</w:t>
      </w:r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Pr="00B47E5E">
        <w:rPr>
          <w:rFonts w:ascii="Times New Roman" w:hAnsi="Times New Roman"/>
          <w:sz w:val="24"/>
          <w:szCs w:val="24"/>
          <w:lang w:eastAsia="ru-RU"/>
        </w:rPr>
        <w:t>Льговского района Курской области по расходам, доходам;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б) осуществление главными администраторами средств бюджета </w:t>
      </w:r>
      <w:r w:rsidR="006A3CAA" w:rsidRPr="006A3CAA">
        <w:rPr>
          <w:rFonts w:ascii="Times New Roman" w:hAnsi="Times New Roman"/>
          <w:sz w:val="24"/>
          <w:szCs w:val="24"/>
          <w:lang w:eastAsia="ru-RU"/>
        </w:rPr>
        <w:t>Кудинцевского</w:t>
      </w:r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Льговского района Курской области внутреннего финансового контроля, направленного на соблюдение внутренних стандартов и процедур составления бюджетной отчетности и по ведению бюджетного учета этими главными администраторами средств и подведомственными им получателями средств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 бюджета;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47E5E">
        <w:rPr>
          <w:rFonts w:ascii="Times New Roman" w:hAnsi="Times New Roman"/>
          <w:sz w:val="24"/>
          <w:szCs w:val="24"/>
          <w:lang w:eastAsia="ru-RU"/>
        </w:rPr>
        <w:t xml:space="preserve">в) осуществление главными администраторами средств </w:t>
      </w:r>
      <w:r w:rsidR="00E11E2F" w:rsidRPr="00B47E5E">
        <w:rPr>
          <w:rFonts w:ascii="Times New Roman" w:hAnsi="Times New Roman"/>
          <w:color w:val="000000"/>
          <w:sz w:val="24"/>
          <w:szCs w:val="24"/>
          <w:lang w:eastAsia="ru-RU"/>
        </w:rPr>
        <w:t>местного</w:t>
      </w:r>
      <w:r w:rsidR="00657E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47E5E">
        <w:rPr>
          <w:rFonts w:ascii="Times New Roman" w:hAnsi="Times New Roman"/>
          <w:sz w:val="24"/>
          <w:szCs w:val="24"/>
          <w:lang w:eastAsia="ru-RU"/>
        </w:rPr>
        <w:t>бюджета  (их уполномоченными должностными лицами) внутреннего финансового аудита на основе функциональной независимости, в целях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оценки надежности внутреннего финансового контроля и подготовки рекомендаций по повышению его эффективности, повышению экономности и результативности использования бюджетных средств.</w:t>
      </w:r>
      <w:proofErr w:type="gramEnd"/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sz w:val="24"/>
          <w:szCs w:val="24"/>
          <w:lang w:eastAsia="ru-RU"/>
        </w:rPr>
        <w:t xml:space="preserve">IV. ОФОРМЛЕНИЕ И РЕАЛИЗАЦИЯ РЕЗУЛЬТАТОВ АНАЛИЗА ОСУЩЕСТВЛЕНИЯ ГЛАВНЫМИ АДМИНИСТРАТОРАМИ СРЕДСТВ </w:t>
      </w:r>
      <w:r w:rsidR="00E11E2F" w:rsidRPr="00B47E5E">
        <w:rPr>
          <w:rFonts w:ascii="Times New Roman" w:hAnsi="Times New Roman"/>
          <w:b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b/>
          <w:sz w:val="24"/>
          <w:szCs w:val="24"/>
          <w:lang w:eastAsia="ru-RU"/>
        </w:rPr>
        <w:t xml:space="preserve"> БЮДЖЕТА ВНУТРЕННЕГО ФИНАНСОВОГО КОНТРОЛЯ И ВНУТРЕННЕГО ФИНАНСОВОГО АУДИТА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4.1. По результатам анализа готовятся заключения (рекомендации) по организации и совершенствованию внутреннего финансового контроля и внутреннего финансового аудита (далее - Заключение).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4.2. Заключение должно содержать следующие сведения: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а) наименование главного администратора средств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бюджета, осуществление внутреннего финансового контроля и внутреннего финансового аудита которого анализировалось;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б) дата начала и окончания проведения анализа;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в) анализируемый период осуществления главными администраторами средств </w:t>
      </w:r>
      <w:r w:rsidR="00E11E2F" w:rsidRPr="00B47E5E">
        <w:rPr>
          <w:rFonts w:ascii="Times New Roman" w:hAnsi="Times New Roman"/>
          <w:color w:val="000000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 внутреннего финансового контроля и внутреннего финансового аудита;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lastRenderedPageBreak/>
        <w:t>г) описание проведенного анализа;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д) сведения о текущем состоянии осуществления главными администраторами средств </w:t>
      </w:r>
      <w:r w:rsidR="00E11E2F" w:rsidRPr="00B47E5E">
        <w:rPr>
          <w:rFonts w:ascii="Times New Roman" w:hAnsi="Times New Roman"/>
          <w:color w:val="000000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 внутреннего финансового контроля и внутреннего финансового аудита;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е) выявленные недостатки в осуществлении главными администраторами средств </w:t>
      </w:r>
      <w:r w:rsidR="00E11E2F" w:rsidRPr="00B47E5E">
        <w:rPr>
          <w:rFonts w:ascii="Times New Roman" w:hAnsi="Times New Roman"/>
          <w:color w:val="000000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>бюджета внутреннего финансового контроля и внутреннего финансового аудита;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ж) оценка осуществления главными администраторами средств </w:t>
      </w:r>
      <w:r w:rsidR="00E11E2F" w:rsidRPr="00B47E5E">
        <w:rPr>
          <w:rFonts w:ascii="Times New Roman" w:hAnsi="Times New Roman"/>
          <w:color w:val="000000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>бюджета внутреннего финансового контроля и внутреннего финансового аудита, а также рекомендации по улучшению осуществления внутреннего финансового контроля и внутреннего финансового аудита.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4.3. Заключение готовится органом (должностным лицом) внутреннего муниципального финансового контроля администрации </w:t>
      </w:r>
      <w:r w:rsidR="006A3CAA" w:rsidRPr="006A3CAA">
        <w:rPr>
          <w:rFonts w:ascii="Times New Roman" w:hAnsi="Times New Roman"/>
          <w:sz w:val="24"/>
          <w:szCs w:val="24"/>
          <w:lang w:eastAsia="ru-RU"/>
        </w:rPr>
        <w:t>Кудинцевского</w:t>
      </w:r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Pr="00B47E5E">
        <w:rPr>
          <w:rFonts w:ascii="Times New Roman" w:hAnsi="Times New Roman"/>
          <w:sz w:val="24"/>
          <w:szCs w:val="24"/>
          <w:lang w:eastAsia="ru-RU"/>
        </w:rPr>
        <w:t>Л</w:t>
      </w:r>
      <w:r w:rsidR="00B47E5E">
        <w:rPr>
          <w:rFonts w:ascii="Times New Roman" w:hAnsi="Times New Roman"/>
          <w:sz w:val="24"/>
          <w:szCs w:val="24"/>
          <w:lang w:eastAsia="ru-RU"/>
        </w:rPr>
        <w:t>ьговского района</w:t>
      </w:r>
      <w:r w:rsidRPr="00B47E5E">
        <w:rPr>
          <w:rFonts w:ascii="Times New Roman" w:hAnsi="Times New Roman"/>
          <w:sz w:val="24"/>
          <w:szCs w:val="24"/>
          <w:lang w:eastAsia="ru-RU"/>
        </w:rPr>
        <w:t>, ответственным за проведение анализа.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4.4. Заключение направляется руководителю главного администратора средств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4.5. По результатам анализа при выявлении нарушения бюджетного законодательства Российской Федерации орган (должностное лицо) внутреннего муниципального финансового контроля администрации </w:t>
      </w:r>
      <w:r w:rsidR="006A3CAA" w:rsidRPr="006A3CAA">
        <w:rPr>
          <w:rFonts w:ascii="Times New Roman" w:hAnsi="Times New Roman"/>
          <w:sz w:val="24"/>
          <w:szCs w:val="24"/>
          <w:lang w:eastAsia="ru-RU"/>
        </w:rPr>
        <w:t>Кудинцевского</w:t>
      </w:r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Pr="00B47E5E">
        <w:rPr>
          <w:rFonts w:ascii="Times New Roman" w:hAnsi="Times New Roman"/>
          <w:sz w:val="24"/>
          <w:szCs w:val="24"/>
          <w:lang w:eastAsia="ru-RU"/>
        </w:rPr>
        <w:t>Л</w:t>
      </w:r>
      <w:r w:rsidR="00B47E5E">
        <w:rPr>
          <w:rFonts w:ascii="Times New Roman" w:hAnsi="Times New Roman"/>
          <w:sz w:val="24"/>
          <w:szCs w:val="24"/>
          <w:lang w:eastAsia="ru-RU"/>
        </w:rPr>
        <w:t>ьговского района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, готовит предложение о включении главного администратора средств </w:t>
      </w:r>
      <w:r w:rsidR="00E11E2F" w:rsidRPr="00B47E5E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бюджета в План осуществления внутреннего муниципального финансового контроля  </w:t>
      </w:r>
      <w:r w:rsidR="006A3CAA" w:rsidRPr="006A3CAA">
        <w:rPr>
          <w:rFonts w:ascii="Times New Roman" w:hAnsi="Times New Roman"/>
          <w:sz w:val="24"/>
          <w:szCs w:val="24"/>
          <w:lang w:eastAsia="ru-RU"/>
        </w:rPr>
        <w:t>Кудинцевского</w:t>
      </w:r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Pr="00B47E5E">
        <w:rPr>
          <w:rFonts w:ascii="Times New Roman" w:hAnsi="Times New Roman"/>
          <w:sz w:val="24"/>
          <w:szCs w:val="24"/>
          <w:lang w:eastAsia="ru-RU"/>
        </w:rPr>
        <w:t>Льговского района Курской области.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4.6. Не позднее 15 марта года, следующего за отчетным годом, орган (должностное лицо) внутреннего муниципального финансового контроля администрации</w:t>
      </w:r>
      <w:r w:rsidR="00C813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3CAA" w:rsidRPr="006A3CAA">
        <w:rPr>
          <w:rFonts w:ascii="Times New Roman" w:hAnsi="Times New Roman"/>
          <w:sz w:val="24"/>
          <w:szCs w:val="24"/>
          <w:lang w:eastAsia="ru-RU"/>
        </w:rPr>
        <w:t>Кудинцевского</w:t>
      </w:r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Л</w:t>
      </w:r>
      <w:r w:rsidR="00D9509B">
        <w:rPr>
          <w:rFonts w:ascii="Times New Roman" w:hAnsi="Times New Roman"/>
          <w:sz w:val="24"/>
          <w:szCs w:val="24"/>
          <w:lang w:eastAsia="ru-RU"/>
        </w:rPr>
        <w:t>ьговского района 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готовит сводную информацию о результатах анализа.</w:t>
      </w:r>
    </w:p>
    <w:p w:rsidR="00DB025F" w:rsidRPr="00B47E5E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4.7. Сводная информация о результатах анализа направляется главе </w:t>
      </w:r>
      <w:r w:rsidR="006A3CAA" w:rsidRPr="006A3CAA">
        <w:rPr>
          <w:rFonts w:ascii="Times New Roman" w:hAnsi="Times New Roman"/>
          <w:sz w:val="24"/>
          <w:szCs w:val="24"/>
          <w:lang w:eastAsia="ru-RU"/>
        </w:rPr>
        <w:t>Кудинцевского</w:t>
      </w:r>
      <w:r w:rsidR="00C813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сельсовета </w:t>
      </w:r>
      <w:r w:rsidRPr="00B47E5E">
        <w:rPr>
          <w:rFonts w:ascii="Times New Roman" w:hAnsi="Times New Roman"/>
          <w:sz w:val="24"/>
          <w:szCs w:val="24"/>
          <w:lang w:eastAsia="ru-RU"/>
        </w:rPr>
        <w:t>Льговского района Курской области.</w:t>
      </w:r>
    </w:p>
    <w:p w:rsidR="00DB025F" w:rsidRDefault="00DB025F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4.8. Сводная информация о результатах анализа отражается в отчете о работе  органа (должностного лица) внутреннего муниципального финансового контроля администрации</w:t>
      </w:r>
      <w:r w:rsidR="00C813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3CAA" w:rsidRPr="006A3CAA">
        <w:rPr>
          <w:rFonts w:ascii="Times New Roman" w:hAnsi="Times New Roman"/>
          <w:sz w:val="24"/>
          <w:szCs w:val="24"/>
          <w:lang w:eastAsia="ru-RU"/>
        </w:rPr>
        <w:t>Кудинцевского</w:t>
      </w:r>
      <w:r w:rsidR="0090402E" w:rsidRPr="00B47E5E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B47E5E">
        <w:rPr>
          <w:rFonts w:ascii="Times New Roman" w:hAnsi="Times New Roman"/>
          <w:sz w:val="24"/>
          <w:szCs w:val="24"/>
          <w:lang w:eastAsia="ru-RU"/>
        </w:rPr>
        <w:t xml:space="preserve"> Льговского района Курской области.</w:t>
      </w: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5E" w:rsidRDefault="00B47E5E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3CAA" w:rsidRDefault="006A3CAA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3CAA" w:rsidRDefault="006A3CAA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3CAA" w:rsidRDefault="006A3CAA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3CAA" w:rsidRPr="00B47E5E" w:rsidRDefault="006A3CAA" w:rsidP="005A0869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25F" w:rsidRPr="00B47E5E" w:rsidRDefault="00DB025F" w:rsidP="005A08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 xml:space="preserve">к Порядку </w:t>
      </w:r>
      <w:r w:rsidRPr="00B47E5E">
        <w:rPr>
          <w:rFonts w:ascii="Times New Roman" w:hAnsi="Times New Roman"/>
          <w:bCs/>
          <w:sz w:val="24"/>
          <w:szCs w:val="24"/>
          <w:lang w:eastAsia="ru-RU"/>
        </w:rPr>
        <w:t>проведения анализа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B47E5E">
        <w:rPr>
          <w:rFonts w:ascii="Times New Roman" w:hAnsi="Times New Roman"/>
          <w:bCs/>
          <w:sz w:val="24"/>
          <w:szCs w:val="24"/>
          <w:lang w:eastAsia="ru-RU"/>
        </w:rPr>
        <w:t>осуществления главными распорядителями (распорядителями)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B47E5E">
        <w:rPr>
          <w:rFonts w:ascii="Times New Roman" w:hAnsi="Times New Roman"/>
          <w:bCs/>
          <w:sz w:val="24"/>
          <w:szCs w:val="24"/>
          <w:lang w:eastAsia="ru-RU"/>
        </w:rPr>
        <w:t xml:space="preserve">средств бюджета </w:t>
      </w:r>
      <w:r w:rsidR="00700F07" w:rsidRPr="00B47E5E"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</w:t>
      </w:r>
    </w:p>
    <w:p w:rsidR="00DB025F" w:rsidRPr="00B47E5E" w:rsidRDefault="00700F07" w:rsidP="005A086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B47E5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6A3CAA">
        <w:rPr>
          <w:rFonts w:ascii="Times New Roman" w:hAnsi="Times New Roman"/>
          <w:bCs/>
          <w:sz w:val="24"/>
          <w:szCs w:val="24"/>
          <w:lang w:eastAsia="ru-RU"/>
        </w:rPr>
        <w:t xml:space="preserve">Кудинцевский </w:t>
      </w:r>
      <w:r w:rsidRPr="00B47E5E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сельсовет»</w:t>
      </w:r>
      <w:r w:rsidR="006A3CA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47E5E">
        <w:rPr>
          <w:rFonts w:ascii="Times New Roman" w:hAnsi="Times New Roman"/>
          <w:bCs/>
          <w:sz w:val="24"/>
          <w:szCs w:val="24"/>
          <w:lang w:eastAsia="ru-RU"/>
        </w:rPr>
        <w:t>Льговского района Курской области</w:t>
      </w:r>
      <w:r w:rsidR="00DB025F" w:rsidRPr="00B47E5E"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B47E5E">
        <w:rPr>
          <w:rFonts w:ascii="Times New Roman" w:hAnsi="Times New Roman"/>
          <w:bCs/>
          <w:sz w:val="24"/>
          <w:szCs w:val="24"/>
          <w:lang w:eastAsia="ru-RU"/>
        </w:rPr>
        <w:t>главными администраторами (администраторами)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B47E5E">
        <w:rPr>
          <w:rFonts w:ascii="Times New Roman" w:hAnsi="Times New Roman"/>
          <w:bCs/>
          <w:sz w:val="24"/>
          <w:szCs w:val="24"/>
          <w:lang w:eastAsia="ru-RU"/>
        </w:rPr>
        <w:t xml:space="preserve">доходов </w:t>
      </w:r>
      <w:r w:rsidR="00E11E2F" w:rsidRPr="00B47E5E">
        <w:rPr>
          <w:rFonts w:ascii="Times New Roman" w:hAnsi="Times New Roman"/>
          <w:bCs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bCs/>
          <w:sz w:val="24"/>
          <w:szCs w:val="24"/>
          <w:lang w:eastAsia="ru-RU"/>
        </w:rPr>
        <w:t xml:space="preserve"> бюджета,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B47E5E">
        <w:rPr>
          <w:rFonts w:ascii="Times New Roman" w:hAnsi="Times New Roman"/>
          <w:bCs/>
          <w:sz w:val="24"/>
          <w:szCs w:val="24"/>
          <w:lang w:eastAsia="ru-RU"/>
        </w:rPr>
        <w:t>главными администраторами (администраторами)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B47E5E">
        <w:rPr>
          <w:rFonts w:ascii="Times New Roman" w:hAnsi="Times New Roman"/>
          <w:bCs/>
          <w:sz w:val="24"/>
          <w:szCs w:val="24"/>
          <w:lang w:eastAsia="ru-RU"/>
        </w:rPr>
        <w:t xml:space="preserve">источников финансирования дефицита </w:t>
      </w:r>
      <w:r w:rsidR="00E11E2F" w:rsidRPr="00B47E5E">
        <w:rPr>
          <w:rFonts w:ascii="Times New Roman" w:hAnsi="Times New Roman"/>
          <w:bCs/>
          <w:sz w:val="24"/>
          <w:szCs w:val="24"/>
          <w:lang w:eastAsia="ru-RU"/>
        </w:rPr>
        <w:t>местного</w:t>
      </w:r>
      <w:r w:rsidRPr="00B47E5E">
        <w:rPr>
          <w:rFonts w:ascii="Times New Roman" w:hAnsi="Times New Roman"/>
          <w:bCs/>
          <w:sz w:val="24"/>
          <w:szCs w:val="24"/>
          <w:lang w:eastAsia="ru-RU"/>
        </w:rPr>
        <w:t xml:space="preserve"> бюджета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B47E5E">
        <w:rPr>
          <w:rFonts w:ascii="Times New Roman" w:hAnsi="Times New Roman"/>
          <w:bCs/>
          <w:sz w:val="24"/>
          <w:szCs w:val="24"/>
          <w:lang w:eastAsia="ru-RU"/>
        </w:rPr>
        <w:t>внутреннего финансового контроля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bCs/>
          <w:sz w:val="24"/>
          <w:szCs w:val="24"/>
          <w:lang w:eastAsia="ru-RU"/>
        </w:rPr>
        <w:t>и внутреннего финансового аудита</w:t>
      </w:r>
    </w:p>
    <w:p w:rsidR="00DB025F" w:rsidRPr="00B47E5E" w:rsidRDefault="00DB025F" w:rsidP="005A08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bCs/>
          <w:sz w:val="24"/>
          <w:szCs w:val="24"/>
          <w:lang w:eastAsia="ru-RU"/>
        </w:rPr>
        <w:t>Информация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bCs/>
          <w:sz w:val="24"/>
          <w:szCs w:val="24"/>
          <w:lang w:eastAsia="ru-RU"/>
        </w:rPr>
        <w:t>о результатах внутреннего финансового контроля и внутреннего финансового аудита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bCs/>
          <w:sz w:val="24"/>
          <w:szCs w:val="24"/>
          <w:lang w:eastAsia="ru-RU"/>
        </w:rPr>
        <w:t>(наименование главного администратора бюджетных средств)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7E5E">
        <w:rPr>
          <w:rFonts w:ascii="Times New Roman" w:hAnsi="Times New Roman"/>
          <w:b/>
          <w:sz w:val="24"/>
          <w:szCs w:val="24"/>
          <w:lang w:eastAsia="ru-RU"/>
        </w:rPr>
        <w:t>на ___________   за   201 ___  год</w:t>
      </w:r>
    </w:p>
    <w:p w:rsidR="00DB025F" w:rsidRPr="00B47E5E" w:rsidRDefault="00DB025F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3"/>
        <w:gridCol w:w="3072"/>
        <w:gridCol w:w="2830"/>
        <w:gridCol w:w="2697"/>
      </w:tblGrid>
      <w:tr w:rsidR="00DB025F" w:rsidRPr="00B47E5E" w:rsidTr="00D024BB">
        <w:trPr>
          <w:tblCellSpacing w:w="0" w:type="dxa"/>
        </w:trPr>
        <w:tc>
          <w:tcPr>
            <w:tcW w:w="72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B47E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435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B025F" w:rsidRPr="00B47E5E" w:rsidTr="00D024BB">
        <w:trPr>
          <w:tblCellSpacing w:w="0" w:type="dxa"/>
        </w:trPr>
        <w:tc>
          <w:tcPr>
            <w:tcW w:w="72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B025F" w:rsidRPr="00B47E5E" w:rsidTr="00D024BB">
        <w:trPr>
          <w:tblCellSpacing w:w="0" w:type="dxa"/>
        </w:trPr>
        <w:tc>
          <w:tcPr>
            <w:tcW w:w="15165" w:type="dxa"/>
            <w:gridSpan w:val="4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«Общие сведения»</w:t>
            </w:r>
          </w:p>
        </w:tc>
      </w:tr>
      <w:tr w:rsidR="00DB025F" w:rsidRPr="00B47E5E" w:rsidTr="00D024BB">
        <w:trPr>
          <w:tblCellSpacing w:w="0" w:type="dxa"/>
        </w:trPr>
        <w:tc>
          <w:tcPr>
            <w:tcW w:w="72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внутренних стандартов, регламентирующих деятельность по внутреннему финансовому контролю и внутреннему финансовому аудиту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правового акта (актов) главного администратора бюджетных средств, в соответствии с которым осуществляется внутренний финансовый контроль и внутренний финансовый аудит</w:t>
            </w:r>
          </w:p>
        </w:tc>
        <w:tc>
          <w:tcPr>
            <w:tcW w:w="435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внесения изменений в правовой акт указываются наименование и реквизиты правового акта главного администратора бюджетных средств, которым внесены соответствующие изменения</w:t>
            </w:r>
          </w:p>
        </w:tc>
      </w:tr>
      <w:tr w:rsidR="00DB025F" w:rsidRPr="00B47E5E" w:rsidTr="00D024BB">
        <w:trPr>
          <w:tblCellSpacing w:w="0" w:type="dxa"/>
        </w:trPr>
        <w:tc>
          <w:tcPr>
            <w:tcW w:w="72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структурного подразделения (в случае наделения полномочиями по осуществлению внутреннего финансового контроля отдельного структурного подразделения)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435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25F" w:rsidRPr="00B47E5E" w:rsidTr="00D024BB">
        <w:trPr>
          <w:tblCellSpacing w:w="0" w:type="dxa"/>
        </w:trPr>
        <w:tc>
          <w:tcPr>
            <w:tcW w:w="72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должностных лиц, осуществляющих в соответствии с должностными регламентами внутренний финансовый контроль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35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25F" w:rsidRPr="00B47E5E" w:rsidTr="00D024BB">
        <w:trPr>
          <w:tblCellSpacing w:w="0" w:type="dxa"/>
        </w:trPr>
        <w:tc>
          <w:tcPr>
            <w:tcW w:w="72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структурного подразделения (в случае наделения полномочиями по осуществлению внутреннего финансового аудита отдельного структурного подразделения)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435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25F" w:rsidRPr="00B47E5E" w:rsidTr="00D024BB">
        <w:trPr>
          <w:tblCellSpacing w:w="0" w:type="dxa"/>
        </w:trPr>
        <w:tc>
          <w:tcPr>
            <w:tcW w:w="72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должностных лиц, осуществляющих внутренний финансовый аудит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35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25F" w:rsidRPr="00B47E5E" w:rsidTr="00D024BB">
        <w:trPr>
          <w:tblCellSpacing w:w="0" w:type="dxa"/>
        </w:trPr>
        <w:tc>
          <w:tcPr>
            <w:tcW w:w="72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подведомственных получателей бюджетных средств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5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25F" w:rsidRPr="00B47E5E" w:rsidTr="00D024BB">
        <w:trPr>
          <w:tblCellSpacing w:w="0" w:type="dxa"/>
        </w:trPr>
        <w:tc>
          <w:tcPr>
            <w:tcW w:w="720" w:type="dxa"/>
          </w:tcPr>
          <w:p w:rsidR="00DB025F" w:rsidRPr="00B47E5E" w:rsidRDefault="00DB025F" w:rsidP="005A08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DB025F" w:rsidRPr="00B47E5E" w:rsidRDefault="00DB025F" w:rsidP="005A08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отчетности о результатах внутреннего финансового контроля и внутреннего финансового аудита</w:t>
            </w:r>
          </w:p>
        </w:tc>
        <w:tc>
          <w:tcPr>
            <w:tcW w:w="505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Да/нет, периодичность составления</w:t>
            </w:r>
          </w:p>
        </w:tc>
        <w:tc>
          <w:tcPr>
            <w:tcW w:w="435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Раздел 2 «Осуществление внутреннего финансового контроля»</w:t>
      </w:r>
    </w:p>
    <w:p w:rsidR="00DB025F" w:rsidRPr="00B47E5E" w:rsidRDefault="00DB025F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7"/>
        <w:gridCol w:w="667"/>
        <w:gridCol w:w="680"/>
        <w:gridCol w:w="716"/>
        <w:gridCol w:w="540"/>
        <w:gridCol w:w="1062"/>
        <w:gridCol w:w="631"/>
        <w:gridCol w:w="620"/>
        <w:gridCol w:w="1070"/>
        <w:gridCol w:w="637"/>
        <w:gridCol w:w="920"/>
        <w:gridCol w:w="938"/>
      </w:tblGrid>
      <w:tr w:rsidR="00DB025F" w:rsidRPr="00B47E5E" w:rsidTr="004569AE">
        <w:trPr>
          <w:tblCellSpacing w:w="0" w:type="dxa"/>
        </w:trPr>
        <w:tc>
          <w:tcPr>
            <w:tcW w:w="2775" w:type="dxa"/>
            <w:gridSpan w:val="2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или отсутствие</w:t>
            </w:r>
          </w:p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(+/-)</w:t>
            </w:r>
          </w:p>
        </w:tc>
        <w:tc>
          <w:tcPr>
            <w:tcW w:w="1560" w:type="dxa"/>
            <w:vMerge w:val="restart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проверенных бюджетных процедур</w:t>
            </w:r>
          </w:p>
        </w:tc>
        <w:tc>
          <w:tcPr>
            <w:tcW w:w="3975" w:type="dxa"/>
            <w:gridSpan w:val="3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выявленных недостатков и (или) нарушений бюджетного законодательства (в разрезе бюджетных процедур), при проведении внутреннего финансового контроля методами</w:t>
            </w:r>
          </w:p>
        </w:tc>
        <w:tc>
          <w:tcPr>
            <w:tcW w:w="1410" w:type="dxa"/>
            <w:vMerge w:val="restart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недостатков и (или) нарушений, которые были устранены</w:t>
            </w:r>
          </w:p>
        </w:tc>
        <w:tc>
          <w:tcPr>
            <w:tcW w:w="2700" w:type="dxa"/>
            <w:gridSpan w:val="2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материалов,</w:t>
            </w:r>
          </w:p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направленных</w:t>
            </w:r>
          </w:p>
        </w:tc>
        <w:tc>
          <w:tcPr>
            <w:tcW w:w="3165" w:type="dxa"/>
            <w:gridSpan w:val="3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Сумма (тыс</w:t>
            </w:r>
            <w:proofErr w:type="gramStart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DB025F" w:rsidRPr="00B47E5E" w:rsidTr="004569AE">
        <w:trPr>
          <w:tblCellSpacing w:w="0" w:type="dxa"/>
        </w:trPr>
        <w:tc>
          <w:tcPr>
            <w:tcW w:w="169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планы внутреннего финансового контроля</w:t>
            </w:r>
          </w:p>
        </w:tc>
        <w:tc>
          <w:tcPr>
            <w:tcW w:w="109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журнал внутреннего финансового контроля</w:t>
            </w:r>
          </w:p>
        </w:tc>
        <w:tc>
          <w:tcPr>
            <w:tcW w:w="0" w:type="auto"/>
            <w:vMerge/>
            <w:vAlign w:val="center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самоконтроля</w:t>
            </w:r>
          </w:p>
        </w:tc>
        <w:tc>
          <w:tcPr>
            <w:tcW w:w="145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по уровню подчинен</w:t>
            </w: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138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по уровню подведомственности</w:t>
            </w:r>
          </w:p>
        </w:tc>
        <w:tc>
          <w:tcPr>
            <w:tcW w:w="0" w:type="auto"/>
            <w:vMerge/>
            <w:vAlign w:val="center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В Управление финансов Льговского района</w:t>
            </w:r>
          </w:p>
        </w:tc>
        <w:tc>
          <w:tcPr>
            <w:tcW w:w="127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в правоохранительные органы</w:t>
            </w:r>
          </w:p>
        </w:tc>
        <w:tc>
          <w:tcPr>
            <w:tcW w:w="114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выявленных недостатков и нарушений</w:t>
            </w:r>
          </w:p>
        </w:tc>
        <w:tc>
          <w:tcPr>
            <w:tcW w:w="114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подлежащая</w:t>
            </w:r>
            <w:proofErr w:type="gramEnd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возмещению (восстановлению) в бюджет</w:t>
            </w:r>
          </w:p>
        </w:tc>
        <w:tc>
          <w:tcPr>
            <w:tcW w:w="90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возмещенная</w:t>
            </w:r>
            <w:proofErr w:type="gramEnd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(восстановленная) в бюджет</w:t>
            </w:r>
          </w:p>
        </w:tc>
      </w:tr>
      <w:tr w:rsidR="00DB025F" w:rsidRPr="00B47E5E" w:rsidTr="004569AE">
        <w:trPr>
          <w:tblCellSpacing w:w="0" w:type="dxa"/>
        </w:trPr>
        <w:tc>
          <w:tcPr>
            <w:tcW w:w="169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Раздел 3 «Осуществление внутреннего финансового аудита»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8"/>
        <w:gridCol w:w="978"/>
        <w:gridCol w:w="990"/>
        <w:gridCol w:w="990"/>
        <w:gridCol w:w="888"/>
        <w:gridCol w:w="793"/>
        <w:gridCol w:w="947"/>
        <w:gridCol w:w="1322"/>
        <w:gridCol w:w="1349"/>
      </w:tblGrid>
      <w:tr w:rsidR="00DB025F" w:rsidRPr="00B47E5E" w:rsidTr="003244A1">
        <w:trPr>
          <w:tblCellSpacing w:w="0" w:type="dxa"/>
        </w:trPr>
        <w:tc>
          <w:tcPr>
            <w:tcW w:w="1118" w:type="dxa"/>
            <w:vMerge w:val="restart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или отсутстви</w:t>
            </w: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 утвержденного плана внутреннего финансового аудита</w:t>
            </w:r>
            <w:proofErr w:type="gramStart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(+/-)</w:t>
            </w:r>
            <w:proofErr w:type="gramEnd"/>
          </w:p>
        </w:tc>
        <w:tc>
          <w:tcPr>
            <w:tcW w:w="4639" w:type="dxa"/>
            <w:gridSpan w:val="5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</w:t>
            </w:r>
          </w:p>
        </w:tc>
        <w:tc>
          <w:tcPr>
            <w:tcW w:w="3618" w:type="dxa"/>
            <w:gridSpan w:val="3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Сумма (тыс</w:t>
            </w:r>
            <w:proofErr w:type="gramStart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DB025F" w:rsidRPr="00B47E5E" w:rsidTr="003244A1">
        <w:trPr>
          <w:tblCellSpacing w:w="0" w:type="dxa"/>
        </w:trPr>
        <w:tc>
          <w:tcPr>
            <w:tcW w:w="1118" w:type="dxa"/>
            <w:vMerge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 w:val="restart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проведенных </w:t>
            </w: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проверок</w:t>
            </w:r>
          </w:p>
        </w:tc>
        <w:tc>
          <w:tcPr>
            <w:tcW w:w="990" w:type="dxa"/>
            <w:vMerge w:val="restart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выявленных </w:t>
            </w: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недостатков (нарушений) </w:t>
            </w:r>
          </w:p>
        </w:tc>
        <w:tc>
          <w:tcPr>
            <w:tcW w:w="990" w:type="dxa"/>
            <w:vMerge w:val="restart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недостатков </w:t>
            </w: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(нарушений), которые были устранены</w:t>
            </w:r>
          </w:p>
        </w:tc>
        <w:tc>
          <w:tcPr>
            <w:tcW w:w="1681" w:type="dxa"/>
            <w:gridSpan w:val="2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направленных материалов</w:t>
            </w:r>
          </w:p>
        </w:tc>
        <w:tc>
          <w:tcPr>
            <w:tcW w:w="947" w:type="dxa"/>
            <w:vMerge w:val="restart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выявленных </w:t>
            </w: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недостатков (нарушений) (с учетом графы 9)</w:t>
            </w:r>
          </w:p>
        </w:tc>
        <w:tc>
          <w:tcPr>
            <w:tcW w:w="1322" w:type="dxa"/>
            <w:vMerge w:val="restart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подлежащая</w:t>
            </w:r>
          </w:p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</w:t>
            </w: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ю (восстановлению) в бюджет </w:t>
            </w:r>
          </w:p>
        </w:tc>
        <w:tc>
          <w:tcPr>
            <w:tcW w:w="1349" w:type="dxa"/>
            <w:vMerge w:val="restart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возмещенна</w:t>
            </w:r>
            <w:proofErr w:type="gramStart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восстанов</w:t>
            </w: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ленная) в бюджет (исходя из графы 9)</w:t>
            </w:r>
          </w:p>
        </w:tc>
      </w:tr>
      <w:tr w:rsidR="00DB025F" w:rsidRPr="00B47E5E" w:rsidTr="00F852FA">
        <w:trPr>
          <w:trHeight w:val="2530"/>
          <w:tblCellSpacing w:w="0" w:type="dxa"/>
        </w:trPr>
        <w:tc>
          <w:tcPr>
            <w:tcW w:w="1118" w:type="dxa"/>
            <w:vMerge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в Управление финансов Льговского района</w:t>
            </w:r>
          </w:p>
        </w:tc>
        <w:tc>
          <w:tcPr>
            <w:tcW w:w="793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в правоохранительные органы</w:t>
            </w:r>
          </w:p>
        </w:tc>
        <w:tc>
          <w:tcPr>
            <w:tcW w:w="947" w:type="dxa"/>
            <w:vMerge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25F" w:rsidRPr="00B47E5E" w:rsidTr="003244A1">
        <w:trPr>
          <w:tblCellSpacing w:w="0" w:type="dxa"/>
        </w:trPr>
        <w:tc>
          <w:tcPr>
            <w:tcW w:w="1118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8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7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DB025F" w:rsidRPr="00B47E5E" w:rsidRDefault="00DB025F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p w:rsidR="00DB025F" w:rsidRPr="00B47E5E" w:rsidRDefault="00DB025F" w:rsidP="005A08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Раздел 4 «Итоги аудиторской проверки»</w:t>
      </w:r>
    </w:p>
    <w:p w:rsidR="00DB025F" w:rsidRPr="00B47E5E" w:rsidRDefault="00DB025F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7E5E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8"/>
        <w:gridCol w:w="1289"/>
        <w:gridCol w:w="1711"/>
        <w:gridCol w:w="1325"/>
        <w:gridCol w:w="2410"/>
        <w:gridCol w:w="1379"/>
      </w:tblGrid>
      <w:tr w:rsidR="00DB025F" w:rsidRPr="00B47E5E" w:rsidTr="00D024BB">
        <w:trPr>
          <w:tblCellSpacing w:w="0" w:type="dxa"/>
        </w:trPr>
        <w:tc>
          <w:tcPr>
            <w:tcW w:w="157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Выводы о степени надежности внутреннего финансового контроля</w:t>
            </w:r>
          </w:p>
        </w:tc>
        <w:tc>
          <w:tcPr>
            <w:tcW w:w="213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Выводы о достоверности бюджетной отчетности</w:t>
            </w:r>
          </w:p>
        </w:tc>
        <w:tc>
          <w:tcPr>
            <w:tcW w:w="283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Выводы о соответствии ведения бюджетного учета методологии и стандартам бюджетного учета</w:t>
            </w:r>
          </w:p>
        </w:tc>
        <w:tc>
          <w:tcPr>
            <w:tcW w:w="219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рекомендации по устранению выявленных нарушений</w:t>
            </w:r>
          </w:p>
        </w:tc>
        <w:tc>
          <w:tcPr>
            <w:tcW w:w="400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по внесению в планы внутреннего финансового контроля</w:t>
            </w:r>
          </w:p>
        </w:tc>
        <w:tc>
          <w:tcPr>
            <w:tcW w:w="228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по повышению экономности и результативности использования бюджетных средств</w:t>
            </w:r>
          </w:p>
        </w:tc>
      </w:tr>
      <w:tr w:rsidR="00DB025F" w:rsidRPr="00B47E5E" w:rsidTr="00D024BB">
        <w:trPr>
          <w:tblCellSpacing w:w="0" w:type="dxa"/>
        </w:trPr>
        <w:tc>
          <w:tcPr>
            <w:tcW w:w="157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5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</w:tcPr>
          <w:p w:rsidR="00DB025F" w:rsidRPr="00B47E5E" w:rsidRDefault="00DB025F" w:rsidP="005A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B025F" w:rsidRPr="00B47E5E" w:rsidTr="00D024BB">
        <w:trPr>
          <w:tblCellSpacing w:w="0" w:type="dxa"/>
        </w:trPr>
        <w:tc>
          <w:tcPr>
            <w:tcW w:w="157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5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</w:tcPr>
          <w:p w:rsidR="00DB025F" w:rsidRPr="00B47E5E" w:rsidRDefault="00DB025F" w:rsidP="005A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B025F" w:rsidRPr="00B47E5E" w:rsidRDefault="00DB025F" w:rsidP="005A08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DB025F" w:rsidRPr="00B47E5E" w:rsidSect="00EF503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CF03BAD"/>
    <w:multiLevelType w:val="multilevel"/>
    <w:tmpl w:val="2CEE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F2F3C"/>
    <w:multiLevelType w:val="multilevel"/>
    <w:tmpl w:val="AD20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569E"/>
    <w:rsid w:val="000E13FB"/>
    <w:rsid w:val="000E448E"/>
    <w:rsid w:val="000F1EB6"/>
    <w:rsid w:val="001707F9"/>
    <w:rsid w:val="00204630"/>
    <w:rsid w:val="002B2B09"/>
    <w:rsid w:val="002D5E5E"/>
    <w:rsid w:val="002D69DF"/>
    <w:rsid w:val="002E0671"/>
    <w:rsid w:val="003244A1"/>
    <w:rsid w:val="003302E0"/>
    <w:rsid w:val="003F794D"/>
    <w:rsid w:val="0045550A"/>
    <w:rsid w:val="004569AE"/>
    <w:rsid w:val="0048362A"/>
    <w:rsid w:val="004F219D"/>
    <w:rsid w:val="005041C0"/>
    <w:rsid w:val="00530F7D"/>
    <w:rsid w:val="00590965"/>
    <w:rsid w:val="005A0869"/>
    <w:rsid w:val="005C58A2"/>
    <w:rsid w:val="00657EC3"/>
    <w:rsid w:val="006A3CAA"/>
    <w:rsid w:val="00700F07"/>
    <w:rsid w:val="007B6F44"/>
    <w:rsid w:val="007F04F4"/>
    <w:rsid w:val="00804FB5"/>
    <w:rsid w:val="008D0640"/>
    <w:rsid w:val="0090402E"/>
    <w:rsid w:val="0098569E"/>
    <w:rsid w:val="009C50D5"/>
    <w:rsid w:val="00A91F7C"/>
    <w:rsid w:val="00B32CE9"/>
    <w:rsid w:val="00B47E5E"/>
    <w:rsid w:val="00B84593"/>
    <w:rsid w:val="00C40C0E"/>
    <w:rsid w:val="00C42E2B"/>
    <w:rsid w:val="00C53027"/>
    <w:rsid w:val="00C812DD"/>
    <w:rsid w:val="00C8131B"/>
    <w:rsid w:val="00C928BE"/>
    <w:rsid w:val="00CA1AE2"/>
    <w:rsid w:val="00CD7560"/>
    <w:rsid w:val="00CF5D52"/>
    <w:rsid w:val="00D024BB"/>
    <w:rsid w:val="00D14455"/>
    <w:rsid w:val="00D4007D"/>
    <w:rsid w:val="00D86790"/>
    <w:rsid w:val="00D94030"/>
    <w:rsid w:val="00D9509B"/>
    <w:rsid w:val="00DB025F"/>
    <w:rsid w:val="00DE402A"/>
    <w:rsid w:val="00E11E2F"/>
    <w:rsid w:val="00EB6675"/>
    <w:rsid w:val="00EF4F08"/>
    <w:rsid w:val="00EF5037"/>
    <w:rsid w:val="00F13D39"/>
    <w:rsid w:val="00F5089C"/>
    <w:rsid w:val="00F7682A"/>
    <w:rsid w:val="00F8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8569E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9856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98569E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9856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98569E"/>
    <w:rPr>
      <w:rFonts w:ascii="Arial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rsid w:val="00985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98569E"/>
    <w:rPr>
      <w:rFonts w:cs="Times New Roman"/>
      <w:b/>
      <w:bCs/>
    </w:rPr>
  </w:style>
  <w:style w:type="character" w:customStyle="1" w:styleId="sizefile">
    <w:name w:val="size_file"/>
    <w:basedOn w:val="a0"/>
    <w:uiPriority w:val="99"/>
    <w:rsid w:val="0098569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3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3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3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3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3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0043-D4BC-436C-A55A-B218D192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2018-09-30T17:32:00Z</dcterms:created>
  <dcterms:modified xsi:type="dcterms:W3CDTF">2018-09-30T17:32:00Z</dcterms:modified>
</cp:coreProperties>
</file>