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keepNext w:val="true"/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КУДИНЦЕВСКОГО СЕЛЬСОВЕТА</w:t>
      </w:r>
    </w:p>
    <w:p>
      <w:pPr>
        <w:keepNext w:val="true"/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ЛЬГОВСКОГО 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22 марта 2024 года</w:t>
        <w:tab/>
        <w:tab/>
        <w:tab/>
        <w:tab/>
        <w:tab/>
        <w:tab/>
        <w:tab/>
        <w:t xml:space="preserve">№ 2.1</w:t>
      </w:r>
    </w:p>
    <w:p>
      <w:pPr>
        <w:keepNext w:val="true"/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проведении публичных слушаний по проекту решения Собрания депутатов Кудинцевского сельсовета  Льговского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Льговского района Курской области 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 2023 год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депутатов Кудинцевского сельсовета Льговского района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РЕШИЛО: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прилагаемый Временный порядок проведения публичных слушаний по проекту 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Обнародовать Временный порядок проведения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района Курской области за 2023 год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4 информационных стендах, расположенных: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- здание Администрации Кудинцевского сельсовета - с. Кудинцево, Льговского района Курской области;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– здание Сергеевского ФАП – д. Сергеевка,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здание киоска ИП Черткова – д. Воронино,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– здание общежития – ст. Шерекино, Льговского района Курской области.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Провести публичные слушания по проекту решения Собрания депутатов Кудинцевского сельсовета Льговского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 2024 года в 16:00 часов в здании администрации по адресу: Курская область, Льговский район, с. Кудинцево, здание администрации.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обнародовать на указанных в п.2 информационных стендах.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Кудинцевского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                                                                </w:t>
        <w:tab/>
        <w:tab/>
        <w:t xml:space="preserve">Н.Ф. Злобина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Кудинцевского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 района                                                               </w:t>
        <w:tab/>
        <w:tab/>
        <w:t xml:space="preserve">И.В. Муравьева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395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УТВЕРЖДЕН:</w:t>
      </w:r>
    </w:p>
    <w:p>
      <w:pPr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Кудинцевского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 района</w:t>
      </w:r>
    </w:p>
    <w:p>
      <w:pPr>
        <w:tabs>
          <w:tab w:val="left" w:pos="5730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22 марта 2024 года № 2.1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ВРЕМЕННЫЙ ПОРЯДОК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проведения публичных слушаний по проекту решения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Собрания депутатов Кудинцевского  сельсовета Льговского района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исполнении бюджета Кудинцевского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разработан 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регулирует вопросы проведения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Публичные слушания по проекту решения Собрания депутатов Кудинцевского 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 одним из способов непосредственного участия граждан в осуществлении местного самоуправления.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Обсуждение проекта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Кудинцевского сельсовета Льговского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Кудинцевского  сельсовета Льговского района. Данное решение подлежит обнародованию на информационных стендах, расположенных: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- здание Администрации Кудинцевского сельсовета - с. Кудинцево, Льговского района Курской области;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– здание Сергеевского ФАП – д. Сергеевка,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здание киоска ИП Черткова – д. Воронино,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– здание общежития – ст. Шерекино, Льговского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состоялось обнародование следующих муниципальных правовых актов Кудинцевского  сельсовета Льговского района Курской области, не позднее, чем за 7 дней до дня публичных слушаний.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публичных слушаниях могут принимать участие все желающие граждане, постоянно проживающие на территории Кудинцевского сельсовета Льговского  района.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Председательствующим на публичных слушаниях является  Председатель Собрания депутатов Кудинцевского  сельсовета Льговского  района, либо председатель комиссии по обсуждению проекта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приему и учету предложений по нему (далее - комиссия).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публичных слушаний принимаются рекомендации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Рекомендации считаются принятыми, если за них проголосовало более половины присутствующих на публичных слушаниях граждан.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публичных слушаний вместе с принятыми на них рекомендациями направляется Собранию депутатов Кудинцевского сельсовета Льговского  района Курской области и обнародуется на информационных стендах, указанных в п. 3.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395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УТВЕРЖДЕН:</w:t>
      </w:r>
    </w:p>
    <w:p>
      <w:pPr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Кудинцевского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 района</w:t>
      </w:r>
    </w:p>
    <w:p>
      <w:pPr>
        <w:tabs>
          <w:tab w:val="left" w:pos="5730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22 марта 2024 года № 2.1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участия граждан в обсуждении проекта 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разработан 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регулирует вопросы участия граждан в обсуждении обнародованного проекта 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Обсуждение проекта 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Кудинцевского  сельсовета Льговского  района  проекта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Кудинцевский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 обсуждения составляет 20 дней со дня обнародования проекта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предложения граждан по существу обсуждаемых вопросов направляются в комиссию по адресу: 307715, Курская область, Льговский район, с. Кудинцево, Администрация Кудинцевского сельсовета.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Обсуждение гражданами проекта 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Кудинцевского сельсовета Льговского района.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Индивидуальные и коллективные предложения должны быть представлены в комиссию не позднее 17.00 часов последнего дня обсуждения.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395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УТВЕРЖДЕН:</w:t>
      </w:r>
    </w:p>
    <w:p>
      <w:pPr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Кудинцевского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 района</w:t>
      </w:r>
    </w:p>
    <w:p>
      <w:pPr>
        <w:tabs>
          <w:tab w:val="left" w:pos="5730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22 марта 2024 года № 2.1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учета предложений по проекту 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разработан в соответствии со статьей 44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определяет Порядок учета предложений по обнародованному проекту 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 по внесенным изменениям и дополнениям в проект бюджета  вносятся гражданами, проживающими на территории Кудинцевского сельсовета Льговского района,  как  от  индивидуальных  авторов,  так  и коллективные.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внесенным изменениям и дополнениям   вносятся в комиссию в письменном виде по адресу: 307715, Курская область, Льговский район,                  с. Кудинцево, администрация Кудинцевского сельсовета Льговского района  и рассматриваются ею в соответствии с настоящим Порядком.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 по внесенным изменениям и дополнениям вносятся в комиссию в течение 20 дней со дня его официального обнародования.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Поступившие предложения регистрируются комиссией в день поступления.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 по внесенным изменениям и дополнениям, внесенные с нарушением положений и сроков, установленных настоящим Порядком, не рассматриваются.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Кудинцевского  сельсовета Льговского  района  в  течение   5  дней  со  дня завершения приема предложений.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395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УТВЕРЖДЕН:</w:t>
      </w:r>
    </w:p>
    <w:p>
      <w:pPr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Кудинцевского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 района</w:t>
      </w:r>
    </w:p>
    <w:p>
      <w:pPr>
        <w:tabs>
          <w:tab w:val="left" w:pos="5730" w:leader="none"/>
        </w:tabs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22 марта 2024 года № 2.1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СОСТАВ КОМИССИИ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 обсуждению проекта 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исполнении бюджета Кудинцевского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 Курской области за 2023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594" w:type="dxa"/>
      </w:tblPr>
      <w:tblGrid>
        <w:gridCol w:w="600"/>
        <w:gridCol w:w="5010"/>
        <w:gridCol w:w="2751"/>
      </w:tblGrid>
      <w:tr>
        <w:trPr>
          <w:trHeight w:val="423" w:hRule="auto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5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Злобина Наталья Филипповна</w:t>
            </w:r>
          </w:p>
        </w:tc>
        <w:tc>
          <w:tcPr>
            <w:tcW w:w="2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Председатель комиссии</w:t>
            </w:r>
          </w:p>
        </w:tc>
      </w:tr>
      <w:tr>
        <w:trPr>
          <w:trHeight w:val="402" w:hRule="auto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5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Гаврилова Ольга Викторовна</w:t>
            </w:r>
          </w:p>
        </w:tc>
        <w:tc>
          <w:tcPr>
            <w:tcW w:w="2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Секретарь комиссии</w:t>
            </w:r>
          </w:p>
        </w:tc>
      </w:tr>
      <w:tr>
        <w:trPr>
          <w:trHeight w:val="423" w:hRule="auto"/>
          <w:jc w:val="left"/>
        </w:trPr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3</w:t>
            </w:r>
          </w:p>
        </w:tc>
        <w:tc>
          <w:tcPr>
            <w:tcW w:w="5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Розина Елена Владимировна</w:t>
            </w:r>
          </w:p>
        </w:tc>
        <w:tc>
          <w:tcPr>
            <w:tcW w:w="2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Член комиссии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